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25B0" w:rsidRPr="007B6B10" w:rsidRDefault="00D025B0" w:rsidP="00D025B0">
      <w:pPr>
        <w:adjustRightInd w:val="0"/>
        <w:snapToGrid w:val="0"/>
        <w:spacing w:after="0" w:line="480" w:lineRule="auto"/>
        <w:jc w:val="both"/>
        <w:rPr>
          <w:rFonts w:ascii="Times New Roman" w:hAnsi="Times New Roman" w:cs="Times New Roman"/>
          <w:b/>
          <w:bCs/>
          <w:color w:val="auto"/>
        </w:rPr>
      </w:pPr>
      <w:r w:rsidRPr="007B6B10">
        <w:rPr>
          <w:rFonts w:ascii="Times New Roman" w:hAnsi="Times New Roman" w:cs="Times New Roman"/>
          <w:b/>
          <w:bCs/>
          <w:color w:val="auto"/>
        </w:rPr>
        <w:t>Supplementary materials:</w:t>
      </w:r>
    </w:p>
    <w:p w:rsidR="00D025B0" w:rsidRPr="007B6B10" w:rsidRDefault="00D025B0" w:rsidP="00D025B0">
      <w:pPr>
        <w:adjustRightInd w:val="0"/>
        <w:snapToGrid w:val="0"/>
        <w:spacing w:after="0" w:line="480" w:lineRule="auto"/>
        <w:jc w:val="both"/>
        <w:rPr>
          <w:rFonts w:ascii="Times New Roman" w:hAnsi="Times New Roman" w:cs="Times New Roman"/>
          <w:b/>
          <w:bCs/>
        </w:rPr>
      </w:pPr>
      <w:r w:rsidRPr="007B6B10">
        <w:rPr>
          <w:rFonts w:ascii="Times New Roman" w:hAnsi="Times New Roman" w:cs="Times New Roman"/>
          <w:b/>
          <w:bCs/>
          <w:color w:val="auto"/>
        </w:rPr>
        <w:t>Figure S1. Scatter Plot of Causal Associations Between All Metabolites and Dermatomyositis (dermatomyositis)</w:t>
      </w:r>
      <w:r w:rsidRPr="007B6B10">
        <w:rPr>
          <w:rFonts w:ascii="Times New Roman" w:hAnsi="Times New Roman" w:cs="Times New Roman"/>
          <w:b/>
          <w:bCs/>
        </w:rPr>
        <w:t xml:space="preserve">. </w:t>
      </w:r>
      <w:r w:rsidRPr="007B6B10">
        <w:rPr>
          <w:rFonts w:ascii="Times New Roman" w:hAnsi="Times New Roman" w:cs="Times New Roman"/>
          <w:color w:val="auto"/>
        </w:rPr>
        <w:t>This scatter plot displays the causal associations between genetic variants and metabolites in relation to dermatomyositis. Each point represents a single nucleotide polymorphism (SNP), plotted with its effect estimate on the x-axis and the -log10(p-value) on the y-axis. The plot helps visualize the distribution and significance of SNPs associated with both the exposure (metabolites) and the outcome (dermatomyositis).</w:t>
      </w:r>
    </w:p>
    <w:p w:rsidR="00D025B0" w:rsidRPr="007B6B10" w:rsidRDefault="00D025B0" w:rsidP="00D025B0">
      <w:pPr>
        <w:adjustRightInd w:val="0"/>
        <w:snapToGrid w:val="0"/>
        <w:spacing w:after="0" w:line="480" w:lineRule="auto"/>
        <w:jc w:val="both"/>
        <w:rPr>
          <w:rFonts w:ascii="Times New Roman" w:hAnsi="Times New Roman" w:cs="Times New Roman"/>
          <w:b/>
          <w:bCs/>
          <w:color w:val="auto"/>
        </w:rPr>
      </w:pPr>
      <w:r w:rsidRPr="007B6B10">
        <w:rPr>
          <w:rFonts w:ascii="Times New Roman" w:hAnsi="Times New Roman" w:cs="Times New Roman"/>
          <w:b/>
          <w:bCs/>
          <w:color w:val="auto"/>
        </w:rPr>
        <w:t xml:space="preserve">Figure S2. Forest Plot of MR Effect Sizes for Metabolites on Dermatomyositis (dermatomyositis). </w:t>
      </w:r>
      <w:r w:rsidRPr="007B6B10">
        <w:rPr>
          <w:rFonts w:ascii="Times New Roman" w:hAnsi="Times New Roman" w:cs="Times New Roman"/>
          <w:color w:val="auto"/>
        </w:rPr>
        <w:t>This forest plot displays the MR effect sizes for metabolites on dermatomyositis, estimated using both the MR-Egger and inverse variance weighted (IVW) methods. Each row represents a single nucleotide polymorphism (SNP), with its corresponding effect size and 95% confidence interval (CI) shown on the x-axis. The red lines at the bottom of the plot indicate the overall causal effect estimates derived from the MR-Egger and IVW methods, respectively. This visualization highlights both the individual SNP effects and the aggregated MR estimates for the association between quinate levels and dermatomyositis.</w:t>
      </w:r>
    </w:p>
    <w:p w:rsidR="00D025B0" w:rsidRPr="007B6B10" w:rsidRDefault="00D025B0" w:rsidP="00D025B0">
      <w:pPr>
        <w:adjustRightInd w:val="0"/>
        <w:snapToGrid w:val="0"/>
        <w:spacing w:after="0" w:line="480" w:lineRule="auto"/>
        <w:jc w:val="both"/>
        <w:rPr>
          <w:rFonts w:ascii="Times New Roman" w:hAnsi="Times New Roman" w:cs="Times New Roman"/>
          <w:b/>
          <w:bCs/>
          <w:color w:val="auto"/>
        </w:rPr>
      </w:pPr>
      <w:r w:rsidRPr="007B6B10">
        <w:rPr>
          <w:rFonts w:ascii="Times New Roman" w:hAnsi="Times New Roman" w:cs="Times New Roman"/>
          <w:b/>
          <w:bCs/>
          <w:color w:val="auto"/>
        </w:rPr>
        <w:t xml:space="preserve">Figure S3. Funnel Plot of Instrumental Variable Estimates. </w:t>
      </w:r>
      <w:r w:rsidRPr="007B6B10">
        <w:rPr>
          <w:rFonts w:ascii="Times New Roman" w:hAnsi="Times New Roman" w:cs="Times New Roman"/>
          <w:color w:val="auto"/>
        </w:rPr>
        <w:t>This funnel plot is used to assess the presence of horizontal pleiotropy in the MR analysis. Each point represents an instrumental variable (IV), plotted with its effect estimate on the x-axis and the precision (1/standard error) on the y-axis. A symmetrical funnel shape suggests no bias due to pleiotropy, while asymmetry may indicate the presence of horizontal pleiotropy affecting the MR results.</w:t>
      </w:r>
    </w:p>
    <w:p w:rsidR="00D025B0" w:rsidRPr="007B6B10" w:rsidRDefault="00D025B0" w:rsidP="00D025B0">
      <w:pPr>
        <w:adjustRightInd w:val="0"/>
        <w:snapToGrid w:val="0"/>
        <w:spacing w:after="0" w:line="480" w:lineRule="auto"/>
        <w:jc w:val="both"/>
        <w:rPr>
          <w:rFonts w:ascii="Times New Roman" w:hAnsi="Times New Roman" w:cs="Times New Roman"/>
          <w:color w:val="auto"/>
        </w:rPr>
      </w:pPr>
      <w:r w:rsidRPr="007B6B10">
        <w:rPr>
          <w:rFonts w:ascii="Times New Roman" w:hAnsi="Times New Roman" w:cs="Times New Roman"/>
          <w:b/>
          <w:bCs/>
          <w:color w:val="auto"/>
        </w:rPr>
        <w:t xml:space="preserve">Figure S4. Leave-One-Out Plot for Sensitivity Analysis. </w:t>
      </w:r>
      <w:r w:rsidRPr="007B6B10">
        <w:rPr>
          <w:rFonts w:ascii="Times New Roman" w:hAnsi="Times New Roman" w:cs="Times New Roman"/>
          <w:color w:val="auto"/>
        </w:rPr>
        <w:t xml:space="preserve">This leave-one-out plot demonstrates the results of a sensitivity analysis where each instrumental variable (IV) is systematically removed one at a time, and the MR estimate is recalculated. The x-axis shows the MR effect estimate for dermatomyositis risk, and each point represents the estimate with one IV omitted. The plot helps identify any single IV that may disproportionately influence the </w:t>
      </w:r>
      <w:r w:rsidRPr="007B6B10">
        <w:rPr>
          <w:rFonts w:ascii="Times New Roman" w:hAnsi="Times New Roman" w:cs="Times New Roman"/>
          <w:color w:val="auto"/>
        </w:rPr>
        <w:lastRenderedPageBreak/>
        <w:t>overall causal estimate, ensuring the robustness of the findings. The red line represents the overall MR estimate using all instrumental variables.</w:t>
      </w:r>
    </w:p>
    <w:p w:rsidR="00D025B0" w:rsidRPr="007B6B10" w:rsidRDefault="00D025B0" w:rsidP="00D025B0">
      <w:pPr>
        <w:adjustRightInd w:val="0"/>
        <w:snapToGrid w:val="0"/>
        <w:spacing w:after="0" w:line="480" w:lineRule="auto"/>
        <w:jc w:val="both"/>
        <w:rPr>
          <w:rFonts w:ascii="Times New Roman" w:hAnsi="Times New Roman" w:cs="Times New Roman"/>
          <w:b/>
          <w:bCs/>
        </w:rPr>
      </w:pPr>
      <w:bookmarkStart w:id="0" w:name="OLE_LINK4"/>
      <w:bookmarkStart w:id="1" w:name="OLE_LINK5"/>
      <w:bookmarkStart w:id="2" w:name="OLE_LINK6"/>
      <w:bookmarkStart w:id="3" w:name="_Hlk168032257"/>
    </w:p>
    <w:p w:rsidR="00D025B0" w:rsidRPr="007B6B10" w:rsidRDefault="00D025B0" w:rsidP="00D025B0">
      <w:pPr>
        <w:adjustRightInd w:val="0"/>
        <w:snapToGrid w:val="0"/>
        <w:spacing w:after="0" w:line="480" w:lineRule="auto"/>
        <w:jc w:val="both"/>
        <w:rPr>
          <w:rFonts w:ascii="Times New Roman" w:hAnsi="Times New Roman" w:cs="Times New Roman"/>
          <w:b/>
          <w:bCs/>
        </w:rPr>
      </w:pPr>
      <w:r w:rsidRPr="007B6B10">
        <w:rPr>
          <w:rFonts w:ascii="Times New Roman" w:hAnsi="Times New Roman" w:cs="Times New Roman"/>
          <w:b/>
          <w:bCs/>
        </w:rPr>
        <w:t>Table S1</w:t>
      </w:r>
      <w:bookmarkEnd w:id="0"/>
      <w:bookmarkEnd w:id="1"/>
      <w:bookmarkEnd w:id="2"/>
      <w:r w:rsidRPr="007B6B10">
        <w:rPr>
          <w:rFonts w:ascii="Times New Roman" w:hAnsi="Times New Roman" w:cs="Times New Roman"/>
          <w:b/>
          <w:bCs/>
        </w:rPr>
        <w:t>. Data Sources</w:t>
      </w:r>
      <w:bookmarkEnd w:id="3"/>
    </w:p>
    <w:p w:rsidR="00D025B0" w:rsidRPr="007B6B10" w:rsidRDefault="00D025B0" w:rsidP="00D025B0">
      <w:pPr>
        <w:adjustRightInd w:val="0"/>
        <w:snapToGrid w:val="0"/>
        <w:spacing w:after="0" w:line="480" w:lineRule="auto"/>
        <w:jc w:val="both"/>
        <w:rPr>
          <w:rFonts w:ascii="Times New Roman" w:hAnsi="Times New Roman" w:cs="Times New Roman"/>
          <w:b/>
          <w:bCs/>
          <w:color w:val="auto"/>
        </w:rPr>
      </w:pPr>
      <w:r w:rsidRPr="007B6B10">
        <w:rPr>
          <w:rFonts w:ascii="Times New Roman" w:hAnsi="Times New Roman" w:cs="Times New Roman"/>
          <w:b/>
          <w:bCs/>
          <w:color w:val="auto"/>
        </w:rPr>
        <w:t>Table S2. Selected Instrumental Variables (IVs) for M</w:t>
      </w:r>
      <w:bookmarkStart w:id="4" w:name="_GoBack"/>
      <w:bookmarkEnd w:id="4"/>
      <w:r w:rsidRPr="007B6B10">
        <w:rPr>
          <w:rFonts w:ascii="Times New Roman" w:hAnsi="Times New Roman" w:cs="Times New Roman"/>
          <w:b/>
          <w:bCs/>
          <w:color w:val="auto"/>
        </w:rPr>
        <w:t>R Analysis</w:t>
      </w:r>
    </w:p>
    <w:p w:rsidR="00D025B0" w:rsidRPr="007B6B10" w:rsidRDefault="00D025B0" w:rsidP="00D025B0">
      <w:pPr>
        <w:adjustRightInd w:val="0"/>
        <w:snapToGrid w:val="0"/>
        <w:spacing w:after="0" w:line="480" w:lineRule="auto"/>
        <w:jc w:val="both"/>
        <w:rPr>
          <w:rFonts w:ascii="Times New Roman" w:hAnsi="Times New Roman" w:cs="Times New Roman"/>
          <w:b/>
          <w:bCs/>
          <w:color w:val="auto"/>
        </w:rPr>
      </w:pPr>
      <w:r w:rsidRPr="007B6B10">
        <w:rPr>
          <w:rFonts w:ascii="Times New Roman" w:hAnsi="Times New Roman" w:cs="Times New Roman"/>
          <w:b/>
          <w:bCs/>
          <w:color w:val="auto"/>
        </w:rPr>
        <w:t>Table S3. Raw Data from MR Analysis</w:t>
      </w:r>
    </w:p>
    <w:p w:rsidR="00D025B0" w:rsidRPr="007B6B10" w:rsidRDefault="00D025B0" w:rsidP="00D025B0">
      <w:pPr>
        <w:adjustRightInd w:val="0"/>
        <w:snapToGrid w:val="0"/>
        <w:spacing w:after="0" w:line="480" w:lineRule="auto"/>
        <w:jc w:val="both"/>
        <w:rPr>
          <w:rFonts w:ascii="Times New Roman" w:hAnsi="Times New Roman" w:cs="Times New Roman"/>
          <w:b/>
          <w:bCs/>
          <w:color w:val="auto"/>
        </w:rPr>
      </w:pPr>
      <w:r w:rsidRPr="007B6B10">
        <w:rPr>
          <w:rFonts w:ascii="Times New Roman" w:hAnsi="Times New Roman" w:cs="Times New Roman"/>
          <w:b/>
          <w:bCs/>
          <w:color w:val="auto"/>
        </w:rPr>
        <w:t>Table S4. Results Post False Discovery Rate (FDR) Correction</w:t>
      </w:r>
    </w:p>
    <w:p w:rsidR="00D025B0" w:rsidRPr="007B6B10" w:rsidRDefault="00D025B0" w:rsidP="00D025B0">
      <w:pPr>
        <w:adjustRightInd w:val="0"/>
        <w:snapToGrid w:val="0"/>
        <w:spacing w:after="0" w:line="480" w:lineRule="auto"/>
        <w:jc w:val="both"/>
        <w:rPr>
          <w:rFonts w:ascii="Times New Roman" w:hAnsi="Times New Roman" w:cs="Times New Roman"/>
          <w:b/>
          <w:bCs/>
          <w:color w:val="auto"/>
        </w:rPr>
      </w:pPr>
      <w:r w:rsidRPr="007B6B10">
        <w:rPr>
          <w:rFonts w:ascii="Times New Roman" w:hAnsi="Times New Roman" w:cs="Times New Roman"/>
          <w:b/>
          <w:bCs/>
          <w:color w:val="auto"/>
        </w:rPr>
        <w:t>Table S5. Detailed Analysis of Heterogeneity and Pleiotropy in MR Study</w:t>
      </w:r>
    </w:p>
    <w:p w:rsidR="00D025B0" w:rsidRPr="007B6B10" w:rsidRDefault="00D025B0" w:rsidP="00D025B0">
      <w:pPr>
        <w:adjustRightInd w:val="0"/>
        <w:snapToGrid w:val="0"/>
        <w:spacing w:after="0" w:line="480" w:lineRule="auto"/>
        <w:jc w:val="both"/>
        <w:rPr>
          <w:rFonts w:ascii="Times New Roman" w:hAnsi="Times New Roman" w:cs="Times New Roman"/>
          <w:b/>
          <w:bCs/>
          <w:color w:val="auto"/>
        </w:rPr>
      </w:pPr>
      <w:r w:rsidRPr="007B6B10">
        <w:rPr>
          <w:rFonts w:ascii="Times New Roman" w:hAnsi="Times New Roman" w:cs="Times New Roman"/>
          <w:b/>
          <w:bCs/>
          <w:color w:val="auto"/>
        </w:rPr>
        <w:t xml:space="preserve">Table S6. </w:t>
      </w:r>
      <w:r w:rsidRPr="007B6B10">
        <w:rPr>
          <w:rFonts w:ascii="Times New Roman" w:hAnsi="Times New Roman" w:cs="Times New Roman"/>
          <w:b/>
          <w:bCs/>
          <w:color w:val="auto"/>
          <w:kern w:val="0"/>
          <w14:ligatures w14:val="none"/>
        </w:rPr>
        <w:t>Detailed Analysis of Pleiotropy in MR Study</w:t>
      </w:r>
    </w:p>
    <w:p w:rsidR="008319C6" w:rsidRPr="00D025B0" w:rsidRDefault="008319C6"/>
    <w:sectPr w:rsidR="008319C6" w:rsidRPr="00D025B0" w:rsidSect="00D025B0">
      <w:pgSz w:w="11906" w:h="16838"/>
      <w:pgMar w:top="1440" w:right="1440" w:bottom="1440" w:left="1440" w:header="851" w:footer="624"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1CA1" w:rsidRDefault="00C71CA1" w:rsidP="00D025B0">
      <w:pPr>
        <w:spacing w:after="0" w:line="240" w:lineRule="auto"/>
      </w:pPr>
      <w:r>
        <w:separator/>
      </w:r>
    </w:p>
  </w:endnote>
  <w:endnote w:type="continuationSeparator" w:id="0">
    <w:p w:rsidR="00C71CA1" w:rsidRDefault="00C71CA1" w:rsidP="00D02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HarmonyOS Sans SC">
    <w:altName w:val="微软雅黑"/>
    <w:charset w:val="86"/>
    <w:family w:val="auto"/>
    <w:pitch w:val="variable"/>
    <w:sig w:usb0="00000003" w:usb1="080E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1CA1" w:rsidRDefault="00C71CA1" w:rsidP="00D025B0">
      <w:pPr>
        <w:spacing w:after="0" w:line="240" w:lineRule="auto"/>
      </w:pPr>
      <w:r>
        <w:separator/>
      </w:r>
    </w:p>
  </w:footnote>
  <w:footnote w:type="continuationSeparator" w:id="0">
    <w:p w:rsidR="00C71CA1" w:rsidRDefault="00C71CA1" w:rsidP="00D025B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6019"/>
    <w:rsid w:val="008319C6"/>
    <w:rsid w:val="00C71CA1"/>
    <w:rsid w:val="00D025B0"/>
    <w:rsid w:val="00EA60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4653A79-E097-4C60-8B8C-AEBC18140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25B0"/>
    <w:pPr>
      <w:spacing w:after="50" w:line="276" w:lineRule="auto"/>
    </w:pPr>
    <w:rPr>
      <w:rFonts w:ascii="HarmonyOS Sans SC" w:eastAsia="HarmonyOS Sans SC" w:hAnsi="HarmonyOS Sans SC"/>
      <w:color w:val="000000" w:themeColor="text1"/>
      <w:sz w:val="24"/>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025B0"/>
    <w:pPr>
      <w:widowControl w:val="0"/>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olor w:val="auto"/>
      <w:sz w:val="18"/>
      <w:szCs w:val="18"/>
      <w14:ligatures w14:val="none"/>
    </w:rPr>
  </w:style>
  <w:style w:type="character" w:customStyle="1" w:styleId="Char">
    <w:name w:val="页眉 Char"/>
    <w:basedOn w:val="a0"/>
    <w:link w:val="a3"/>
    <w:uiPriority w:val="99"/>
    <w:rsid w:val="00D025B0"/>
    <w:rPr>
      <w:sz w:val="18"/>
      <w:szCs w:val="18"/>
    </w:rPr>
  </w:style>
  <w:style w:type="paragraph" w:styleId="a4">
    <w:name w:val="footer"/>
    <w:basedOn w:val="a"/>
    <w:link w:val="Char0"/>
    <w:uiPriority w:val="99"/>
    <w:unhideWhenUsed/>
    <w:rsid w:val="00D025B0"/>
    <w:pPr>
      <w:widowControl w:val="0"/>
      <w:tabs>
        <w:tab w:val="center" w:pos="4153"/>
        <w:tab w:val="right" w:pos="8306"/>
      </w:tabs>
      <w:snapToGrid w:val="0"/>
      <w:spacing w:after="0" w:line="240" w:lineRule="auto"/>
    </w:pPr>
    <w:rPr>
      <w:rFonts w:asciiTheme="minorHAnsi" w:eastAsiaTheme="minorEastAsia" w:hAnsiTheme="minorHAnsi"/>
      <w:color w:val="auto"/>
      <w:sz w:val="18"/>
      <w:szCs w:val="18"/>
      <w14:ligatures w14:val="none"/>
    </w:rPr>
  </w:style>
  <w:style w:type="character" w:customStyle="1" w:styleId="Char0">
    <w:name w:val="页脚 Char"/>
    <w:basedOn w:val="a0"/>
    <w:link w:val="a4"/>
    <w:uiPriority w:val="99"/>
    <w:rsid w:val="00D025B0"/>
    <w:rPr>
      <w:sz w:val="18"/>
      <w:szCs w:val="18"/>
    </w:rPr>
  </w:style>
  <w:style w:type="character" w:styleId="a5">
    <w:name w:val="line number"/>
    <w:basedOn w:val="a0"/>
    <w:uiPriority w:val="99"/>
    <w:semiHidden/>
    <w:unhideWhenUsed/>
    <w:rsid w:val="00D025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393</Words>
  <Characters>2243</Characters>
  <Application>Microsoft Office Word</Application>
  <DocSecurity>0</DocSecurity>
  <Lines>18</Lines>
  <Paragraphs>5</Paragraphs>
  <ScaleCrop>false</ScaleCrop>
  <Company/>
  <LinksUpToDate>false</LinksUpToDate>
  <CharactersWithSpaces>2631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dcterms:created xsi:type="dcterms:W3CDTF">2025-08-20T03:43:00Z</dcterms:created>
  <dcterms:modified xsi:type="dcterms:W3CDTF">2025-08-20T03:43:00Z</dcterms:modified>
</cp:coreProperties>
</file>